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auto"/>
          <w:spacing w:val="-2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auto"/>
          <w:spacing w:val="-20"/>
          <w:sz w:val="44"/>
          <w:szCs w:val="44"/>
        </w:rPr>
      </w:pPr>
      <w:r>
        <w:rPr>
          <w:rFonts w:hint="eastAsia" w:ascii="宋体" w:hAnsi="宋体" w:cs="宋体"/>
          <w:b/>
          <w:color w:val="auto"/>
          <w:spacing w:val="-20"/>
          <w:sz w:val="44"/>
          <w:szCs w:val="44"/>
        </w:rPr>
        <w:t>攀钢集团重庆钛业有限公司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pacing w:val="-2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pacing w:val="-2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pacing w:val="-2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宋体" w:hAnsi="宋体" w:eastAsia="宋体" w:cs="宋体"/>
          <w:b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auto"/>
          <w:spacing w:val="-20"/>
          <w:sz w:val="44"/>
          <w:szCs w:val="44"/>
          <w:lang w:val="en-US" w:eastAsia="zh-CN"/>
        </w:rPr>
        <w:t>蒸汽余热余压发电项目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color w:val="auto"/>
          <w:sz w:val="48"/>
          <w:szCs w:val="48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竣工环境保护验收</w:t>
      </w:r>
      <w:r>
        <w:rPr>
          <w:rFonts w:hint="eastAsia" w:ascii="宋体" w:hAnsi="宋体" w:cs="宋体"/>
          <w:b/>
          <w:bCs/>
          <w:color w:val="auto"/>
          <w:sz w:val="48"/>
          <w:szCs w:val="48"/>
        </w:rPr>
        <w:t>合同</w:t>
      </w:r>
    </w:p>
    <w:p>
      <w:pPr>
        <w:jc w:val="center"/>
        <w:rPr>
          <w:rFonts w:eastAsia="华文新魏"/>
          <w:b/>
          <w:bCs/>
          <w:color w:val="auto"/>
          <w:sz w:val="48"/>
        </w:rPr>
      </w:pPr>
    </w:p>
    <w:p>
      <w:pPr>
        <w:jc w:val="center"/>
        <w:rPr>
          <w:rFonts w:eastAsia="华文新魏"/>
          <w:b/>
          <w:bCs/>
          <w:color w:val="auto"/>
          <w:sz w:val="48"/>
        </w:rPr>
      </w:pPr>
    </w:p>
    <w:p>
      <w:pPr>
        <w:jc w:val="center"/>
        <w:rPr>
          <w:rFonts w:eastAsia="华文新魏"/>
          <w:b/>
          <w:bCs/>
          <w:color w:val="auto"/>
          <w:sz w:val="48"/>
        </w:rPr>
      </w:pPr>
    </w:p>
    <w:p>
      <w:pPr>
        <w:rPr>
          <w:rFonts w:eastAsia="黑体"/>
          <w:color w:val="auto"/>
          <w:sz w:val="32"/>
        </w:rPr>
      </w:pPr>
    </w:p>
    <w:p>
      <w:pPr>
        <w:jc w:val="center"/>
        <w:rPr>
          <w:rFonts w:eastAsia="华文新魏"/>
          <w:b/>
          <w:bCs/>
          <w:color w:val="auto"/>
          <w:sz w:val="48"/>
        </w:rPr>
      </w:pPr>
    </w:p>
    <w:p>
      <w:pPr>
        <w:jc w:val="center"/>
        <w:rPr>
          <w:rFonts w:eastAsia="华文新魏"/>
          <w:b/>
          <w:bCs/>
          <w:color w:val="auto"/>
          <w:sz w:val="48"/>
        </w:rPr>
      </w:pPr>
    </w:p>
    <w:p>
      <w:pPr>
        <w:spacing w:line="300" w:lineRule="exact"/>
        <w:rPr>
          <w:rFonts w:eastAsia="华文新魏"/>
          <w:b/>
          <w:bCs/>
          <w:color w:val="auto"/>
          <w:sz w:val="44"/>
        </w:rPr>
      </w:pPr>
      <w:r>
        <w:rPr>
          <w:rFonts w:hint="eastAsia" w:eastAsia="华文新魏"/>
          <w:b/>
          <w:bCs/>
          <w:color w:val="auto"/>
          <w:sz w:val="44"/>
        </w:rPr>
        <w:t xml:space="preserve">          </w:t>
      </w:r>
    </w:p>
    <w:p>
      <w:pPr>
        <w:spacing w:line="360" w:lineRule="exact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 xml:space="preserve">    </w:t>
      </w:r>
    </w:p>
    <w:p>
      <w:pPr>
        <w:spacing w:line="360" w:lineRule="exact"/>
        <w:rPr>
          <w:rFonts w:eastAsia="楷体_GB2312"/>
          <w:color w:val="auto"/>
          <w:sz w:val="28"/>
          <w:szCs w:val="28"/>
        </w:rPr>
      </w:pPr>
    </w:p>
    <w:p>
      <w:pPr>
        <w:spacing w:line="360" w:lineRule="exact"/>
        <w:rPr>
          <w:rFonts w:eastAsia="楷体_GB2312"/>
          <w:color w:val="auto"/>
          <w:sz w:val="28"/>
          <w:szCs w:val="28"/>
        </w:rPr>
      </w:pPr>
    </w:p>
    <w:p>
      <w:pPr>
        <w:spacing w:line="360" w:lineRule="exact"/>
        <w:rPr>
          <w:rFonts w:eastAsia="楷体_GB2312"/>
          <w:color w:val="auto"/>
          <w:sz w:val="28"/>
          <w:szCs w:val="28"/>
        </w:rPr>
      </w:pPr>
    </w:p>
    <w:p>
      <w:pPr>
        <w:spacing w:line="360" w:lineRule="exact"/>
        <w:rPr>
          <w:rFonts w:eastAsia="楷体_GB2312"/>
          <w:color w:val="auto"/>
          <w:sz w:val="28"/>
          <w:szCs w:val="28"/>
        </w:rPr>
      </w:pPr>
    </w:p>
    <w:p>
      <w:pPr>
        <w:spacing w:line="360" w:lineRule="exact"/>
        <w:rPr>
          <w:rFonts w:hint="eastAsia" w:eastAsia="楷体_GB2312"/>
          <w:color w:val="auto"/>
          <w:sz w:val="28"/>
          <w:szCs w:val="28"/>
        </w:rPr>
      </w:pPr>
    </w:p>
    <w:p>
      <w:pPr>
        <w:spacing w:line="360" w:lineRule="exact"/>
        <w:rPr>
          <w:rFonts w:hint="eastAsia" w:eastAsia="楷体_GB2312"/>
          <w:color w:val="auto"/>
          <w:sz w:val="28"/>
          <w:szCs w:val="28"/>
        </w:rPr>
      </w:pPr>
    </w:p>
    <w:p>
      <w:pPr>
        <w:spacing w:line="360" w:lineRule="exact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 xml:space="preserve"> </w:t>
      </w:r>
    </w:p>
    <w:p>
      <w:pPr>
        <w:spacing w:line="360" w:lineRule="exact"/>
        <w:rPr>
          <w:rFonts w:hint="eastAsia"/>
          <w:color w:val="auto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36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委托方：攀钢集团重庆钛业有限公司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（简</w:t>
      </w:r>
      <w:r>
        <w:rPr>
          <w:rFonts w:hint="eastAsia" w:ascii="宋体" w:hAnsi="宋体"/>
          <w:bCs/>
          <w:color w:val="auto"/>
          <w:sz w:val="28"/>
          <w:szCs w:val="28"/>
        </w:rPr>
        <w:t>称</w:t>
      </w:r>
      <w:r>
        <w:rPr>
          <w:rFonts w:hint="eastAsia"/>
          <w:color w:val="auto"/>
          <w:sz w:val="28"/>
          <w:szCs w:val="28"/>
        </w:rPr>
        <w:t>甲方</w:t>
      </w:r>
      <w:r>
        <w:rPr>
          <w:rFonts w:hint="eastAsia" w:ascii="宋体" w:hAnsi="宋体"/>
          <w:bCs/>
          <w:color w:val="auto"/>
          <w:sz w:val="28"/>
          <w:szCs w:val="28"/>
        </w:rPr>
        <w:t>）</w:t>
      </w:r>
    </w:p>
    <w:p>
      <w:pPr>
        <w:adjustRightInd w:val="0"/>
        <w:snapToGrid w:val="0"/>
        <w:spacing w:line="336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受托方：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/>
          <w:color w:val="auto"/>
          <w:sz w:val="28"/>
          <w:szCs w:val="28"/>
        </w:rPr>
        <w:t>（</w:t>
      </w:r>
      <w:r>
        <w:rPr>
          <w:rFonts w:hint="eastAsia" w:ascii="宋体" w:hAnsi="宋体"/>
          <w:bCs/>
          <w:color w:val="auto"/>
          <w:sz w:val="28"/>
          <w:szCs w:val="28"/>
        </w:rPr>
        <w:t>简称</w:t>
      </w:r>
      <w:r>
        <w:rPr>
          <w:rFonts w:hint="eastAsia"/>
          <w:color w:val="auto"/>
          <w:sz w:val="28"/>
        </w:rPr>
        <w:t>乙方</w:t>
      </w:r>
      <w:r>
        <w:rPr>
          <w:rFonts w:hint="eastAsia"/>
          <w:color w:val="auto"/>
          <w:sz w:val="28"/>
          <w:szCs w:val="28"/>
        </w:rPr>
        <w:t>）</w:t>
      </w:r>
    </w:p>
    <w:p>
      <w:pPr>
        <w:adjustRightInd w:val="0"/>
        <w:snapToGrid w:val="0"/>
        <w:spacing w:line="336" w:lineRule="auto"/>
        <w:rPr>
          <w:color w:val="auto"/>
          <w:sz w:val="28"/>
          <w:szCs w:val="28"/>
        </w:rPr>
      </w:pP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一、合同工作内容及具体技术要求</w:t>
      </w:r>
    </w:p>
    <w:p>
      <w:pPr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攀钢集团重庆钛业有限公司拟建项目建设内容为将现有12MW背压式汽轮发电机组改造为6MW背压式汽轮发电机组+新建1套10MW凝汽补汽式轮发电机组及配套建设发电接入系统等相关辅助设施，新建10MW凝汽补汽式轮发电机组及配套建设的设备有10MW凝汽补汽式轮发电机组、横流式冷却塔、限流电抗器等。项目位于重庆钛业公司厂区热电站内，符合园区“三线一单”的要求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甲方委托乙方根据上述建设内容编制《攀钢集团重庆钛业有限公司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蒸汽余热余压发电项目环保竣工验收报告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》，报告应符合国家《建设项目竣工环境保护验收技术指南  污染影响类》、《重庆市建设项目竣工环境保护验收监测技术规范 </w:t>
      </w:r>
      <w:r>
        <w:rPr>
          <w:rFonts w:ascii="宋体" w:hAnsi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</w:rPr>
        <w:t>污染型项目》规定要求。</w:t>
      </w: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二、甲方应提供的资料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（一）项目相关资料。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（二）取得的批复文件。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（三）环境管理资料。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（四）其它相关资料。</w:t>
      </w: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三、甲方承担的主要工作和责任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（一）按本合同的第二款的要求向乙方提交所需资料。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（二）对提供的文件、技术资料的真实性及质量负责。；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（三）按照合同规定的方式支付合同经费。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（四）协助乙方对项目所在现场勘察和基础资料收集工作。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（五）合同成果未经乙方同意不得转让。</w:t>
      </w: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四、乙方承担的主要工作和责任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（一）按相关规范编制竣工验收方案。</w:t>
      </w:r>
    </w:p>
    <w:p>
      <w:pPr>
        <w:ind w:firstLine="560" w:firstLineChars="200"/>
        <w:rPr>
          <w:rFonts w:hint="default" w:ascii="宋体" w:hAnsi="宋体" w:cs="宋体"/>
          <w:color w:val="auto"/>
          <w:sz w:val="28"/>
          <w:szCs w:val="28"/>
          <w:lang w:val="en-US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（二）按照合同规定的时间如期提交成果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自合同签订之日起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60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天内完</w:t>
      </w:r>
      <w:bookmarkStart w:id="0" w:name="_GoBack"/>
      <w:bookmarkEnd w:id="0"/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成竣工报告编制并通过专家验收评审，取得专家评审意见。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（三）乙方编制的报告文件在审定中若发现有不足之处，乙方负责免费修改、补充，直至完善。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（四）配合甲方与负责项目审批的生态环境局管理部门做好沟通协调工作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和竣工验收公示工作</w:t>
      </w:r>
      <w:r>
        <w:rPr>
          <w:rFonts w:hint="eastAsia" w:ascii="宋体" w:hAnsi="宋体" w:cs="宋体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（五）对甲方要求保密的资料负责保密，资料禁止转给第三方，用完退还甲方。</w:t>
      </w: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五、合同经费及付款方式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本项目合同经费：人民币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整 </w:t>
      </w:r>
      <w:r>
        <w:rPr>
          <w:rFonts w:hint="eastAsia" w:ascii="宋体" w:hAnsi="宋体" w:cs="宋体"/>
          <w:color w:val="auto"/>
          <w:sz w:val="28"/>
          <w:szCs w:val="28"/>
        </w:rPr>
        <w:t>（￥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8"/>
        </w:rPr>
        <w:t>元，不含税）。由甲方按以下方式、时间付给乙方：</w:t>
      </w:r>
    </w:p>
    <w:p>
      <w:pPr>
        <w:ind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报告编制完成，通过验收组验收合格并经验收公示后，乙方应向甲方提供有效的增值税专用发票。甲方收到发票之日起22个工作日内,一次性支付乙方人民币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>整</w:t>
      </w:r>
      <w:r>
        <w:rPr>
          <w:rFonts w:hint="eastAsia" w:ascii="宋体" w:hAnsi="宋体" w:cs="宋体"/>
          <w:color w:val="auto"/>
          <w:sz w:val="28"/>
          <w:szCs w:val="28"/>
        </w:rPr>
        <w:t>（¥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</w:rPr>
        <w:t>元，不含税）。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（含税                 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圆</w:t>
      </w:r>
      <w:r>
        <w:rPr>
          <w:rFonts w:hint="eastAsia" w:ascii="宋体" w:hAnsi="宋体" w:cs="宋体"/>
          <w:color w:val="auto"/>
          <w:sz w:val="28"/>
          <w:szCs w:val="28"/>
        </w:rPr>
        <w:t>¥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元，税率1%）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若因乙方原因未能按期完成报告编制，或未通过验收组验收，且未取得验收组同意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环保</w:t>
      </w:r>
      <w:r>
        <w:rPr>
          <w:rFonts w:hint="eastAsia" w:ascii="宋体" w:hAnsi="宋体" w:cs="宋体"/>
          <w:color w:val="auto"/>
          <w:sz w:val="28"/>
          <w:szCs w:val="28"/>
        </w:rPr>
        <w:t>竣工验收意见，在支付乙方合同款时按100元/天扣除，直至通过验收组</w:t>
      </w:r>
      <w:r>
        <w:rPr>
          <w:rFonts w:ascii="宋体" w:hAnsi="宋体" w:cs="宋体"/>
          <w:color w:val="auto"/>
          <w:sz w:val="28"/>
          <w:szCs w:val="28"/>
        </w:rPr>
        <w:t>的验收</w:t>
      </w:r>
      <w:r>
        <w:rPr>
          <w:rFonts w:hint="eastAsia" w:ascii="宋体" w:hAnsi="宋体" w:cs="宋体"/>
          <w:color w:val="auto"/>
          <w:sz w:val="28"/>
          <w:szCs w:val="28"/>
        </w:rPr>
        <w:t>，</w:t>
      </w:r>
      <w:r>
        <w:rPr>
          <w:rFonts w:ascii="宋体" w:hAnsi="宋体" w:cs="宋体"/>
          <w:color w:val="auto"/>
          <w:sz w:val="28"/>
          <w:szCs w:val="28"/>
        </w:rPr>
        <w:t>并</w:t>
      </w:r>
      <w:r>
        <w:rPr>
          <w:rFonts w:hint="eastAsia" w:ascii="宋体" w:hAnsi="宋体" w:cs="宋体"/>
          <w:color w:val="auto"/>
          <w:sz w:val="28"/>
          <w:szCs w:val="28"/>
        </w:rPr>
        <w:t>取得验收意见。</w:t>
      </w:r>
    </w:p>
    <w:p>
      <w:pPr>
        <w:ind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若因甲方原因导致未通过验收组验收，且未取得验收组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专家</w:t>
      </w:r>
      <w:r>
        <w:rPr>
          <w:rFonts w:hint="eastAsia" w:ascii="宋体" w:hAnsi="宋体" w:cs="宋体"/>
          <w:color w:val="auto"/>
          <w:sz w:val="28"/>
          <w:szCs w:val="28"/>
        </w:rPr>
        <w:t>同意竣工验收意见，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则顺延竣工验收时间，影响期间不予扣款。</w:t>
      </w: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六、合同实施办法及完成期限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（一）合同生效后，甲方向乙方提交本合同第二款所列资料。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（二）甲方提交第二款所列资料后，乙方正式开展验收工作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。</w:t>
      </w: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七、合同其他条款</w:t>
      </w:r>
    </w:p>
    <w:p>
      <w:pPr>
        <w:adjustRightInd w:val="0"/>
        <w:snapToGrid w:val="0"/>
        <w:spacing w:line="336" w:lineRule="auto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（一）本合同经费包括项目竣工环保验收报告编制费、监测费、评审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会务</w:t>
      </w:r>
      <w:r>
        <w:rPr>
          <w:rFonts w:hint="eastAsia" w:ascii="宋体" w:hAnsi="宋体" w:cs="宋体"/>
          <w:color w:val="auto"/>
          <w:sz w:val="28"/>
          <w:szCs w:val="28"/>
        </w:rPr>
        <w:t>费等全部费用，</w:t>
      </w:r>
      <w:r>
        <w:rPr>
          <w:rFonts w:hint="eastAsia"/>
          <w:color w:val="auto"/>
          <w:sz w:val="28"/>
          <w:szCs w:val="28"/>
        </w:rPr>
        <w:t>但</w:t>
      </w:r>
      <w:r>
        <w:rPr>
          <w:color w:val="auto"/>
          <w:sz w:val="28"/>
          <w:szCs w:val="28"/>
        </w:rPr>
        <w:t>不包括</w:t>
      </w:r>
      <w:r>
        <w:rPr>
          <w:rFonts w:hint="eastAsia"/>
          <w:color w:val="auto"/>
          <w:sz w:val="28"/>
          <w:szCs w:val="28"/>
        </w:rPr>
        <w:t>环境</w:t>
      </w:r>
      <w:r>
        <w:rPr>
          <w:color w:val="auto"/>
          <w:sz w:val="28"/>
          <w:szCs w:val="28"/>
        </w:rPr>
        <w:t>税</w:t>
      </w:r>
      <w:r>
        <w:rPr>
          <w:rFonts w:hint="eastAsia"/>
          <w:color w:val="auto"/>
          <w:sz w:val="28"/>
          <w:szCs w:val="28"/>
        </w:rPr>
        <w:t>和排污</w:t>
      </w:r>
      <w:r>
        <w:rPr>
          <w:color w:val="auto"/>
          <w:sz w:val="28"/>
          <w:szCs w:val="28"/>
        </w:rPr>
        <w:t>总量购买费用。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（二）乙方负责按照国家和地方规定，完成《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蒸汽余热余压发电项目环保竣工验收报告</w:t>
      </w:r>
      <w:r>
        <w:rPr>
          <w:rFonts w:hint="eastAsia" w:ascii="宋体" w:hAnsi="宋体" w:cs="宋体"/>
          <w:color w:val="auto"/>
          <w:sz w:val="28"/>
          <w:szCs w:val="28"/>
        </w:rPr>
        <w:t>》的编写和验收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评审</w:t>
      </w:r>
      <w:r>
        <w:rPr>
          <w:rFonts w:hint="eastAsia" w:ascii="宋体" w:hAnsi="宋体" w:cs="宋体"/>
          <w:color w:val="auto"/>
          <w:sz w:val="28"/>
          <w:szCs w:val="28"/>
        </w:rPr>
        <w:t>等工作。</w:t>
      </w: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八、验收标准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符合项目竣工环保验收技术规范要求，通过验收组验收并取得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专家组</w:t>
      </w:r>
      <w:r>
        <w:rPr>
          <w:rFonts w:hint="eastAsia" w:ascii="宋体" w:hAnsi="宋体" w:cs="宋体"/>
          <w:color w:val="auto"/>
          <w:sz w:val="28"/>
          <w:szCs w:val="28"/>
        </w:rPr>
        <w:t>同意通过验收的意见。向甲方提交验收后</w:t>
      </w:r>
      <w:r>
        <w:rPr>
          <w:rFonts w:ascii="宋体" w:hAnsi="宋体" w:cs="宋体"/>
          <w:color w:val="auto"/>
          <w:sz w:val="28"/>
          <w:szCs w:val="28"/>
        </w:rPr>
        <w:t>的</w:t>
      </w:r>
      <w:r>
        <w:rPr>
          <w:rFonts w:hint="eastAsia" w:ascii="宋体" w:hAnsi="宋体" w:cs="宋体"/>
          <w:color w:val="auto"/>
          <w:sz w:val="28"/>
          <w:szCs w:val="28"/>
        </w:rPr>
        <w:t>合格的竣工验收报告5份，电子光盘1张。</w:t>
      </w: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九、其他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（一）在合同执行期间，双方若有分歧应本着互谅互让的精神协商解决。协商不成，可向甲方所在地人民法院提起诉讼。</w:t>
      </w: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（二）本合同一式捌份。甲方执肆份，乙方执肆份，双方签字盖章后生效，生效日期自双方签字盖章之日起计算，有效期1年。</w:t>
      </w:r>
    </w:p>
    <w:p>
      <w:pPr>
        <w:jc w:val="center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。。。。。。。。。。。。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以下为签订页无正文</w:t>
      </w:r>
      <w:r>
        <w:rPr>
          <w:rFonts w:hint="eastAsia" w:ascii="宋体" w:hAnsi="宋体" w:cs="宋体"/>
          <w:color w:val="auto"/>
          <w:sz w:val="28"/>
          <w:szCs w:val="28"/>
        </w:rPr>
        <w:t>。。。。。。。。。。。。。。。。。。。。。。。。</w:t>
      </w:r>
    </w:p>
    <w:p>
      <w:pPr>
        <w:jc w:val="center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jc w:val="center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color w:val="auto"/>
          <w:sz w:val="28"/>
          <w:szCs w:val="28"/>
        </w:rPr>
      </w:pPr>
    </w:p>
    <w:tbl>
      <w:tblPr>
        <w:tblStyle w:val="8"/>
        <w:tblpPr w:leftFromText="180" w:rightFromText="180" w:vertAnchor="text" w:horzAnchor="page" w:tblpX="1750" w:tblpY="169"/>
        <w:tblOverlap w:val="never"/>
        <w:tblW w:w="9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8"/>
        <w:gridCol w:w="527"/>
        <w:gridCol w:w="4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18" w:type="dxa"/>
          </w:tcPr>
          <w:p>
            <w:pPr>
              <w:spacing w:line="36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甲方：攀钢集团重庆钛业有限公司</w:t>
            </w:r>
          </w:p>
        </w:tc>
        <w:tc>
          <w:tcPr>
            <w:tcW w:w="527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15" w:type="dxa"/>
          </w:tcPr>
          <w:p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乙方：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618" w:type="dxa"/>
          </w:tcPr>
          <w:p>
            <w:pPr>
              <w:adjustRightInd w:val="0"/>
              <w:snapToGrid w:val="0"/>
              <w:ind w:left="720" w:hanging="720" w:hangingChars="3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地址：重庆市巴南区麻柳嘴镇梓桐路2号</w:t>
            </w:r>
          </w:p>
        </w:tc>
        <w:tc>
          <w:tcPr>
            <w:tcW w:w="527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15" w:type="dxa"/>
          </w:tcPr>
          <w:p>
            <w:pPr>
              <w:adjustRightInd w:val="0"/>
              <w:snapToGrid w:val="0"/>
              <w:spacing w:line="336" w:lineRule="auto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通讯地址：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8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法定代表人：</w:t>
            </w:r>
          </w:p>
        </w:tc>
        <w:tc>
          <w:tcPr>
            <w:tcW w:w="527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15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法定代表人：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8" w:type="dxa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委托代理人（签字）：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27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15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委托代理人（签字）：</w:t>
            </w:r>
          </w:p>
          <w:p>
            <w:pPr>
              <w:adjustRightInd w:val="0"/>
              <w:snapToGrid w:val="0"/>
              <w:ind w:firstLine="120" w:firstLineChars="5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8" w:type="dxa"/>
          </w:tcPr>
          <w:p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统一社会信用代码：</w:t>
            </w:r>
          </w:p>
          <w:p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91500000621901522N</w:t>
            </w:r>
          </w:p>
        </w:tc>
        <w:tc>
          <w:tcPr>
            <w:tcW w:w="527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15" w:type="dxa"/>
          </w:tcPr>
          <w:p>
            <w:pPr>
              <w:widowControl/>
              <w:adjustRightInd w:val="0"/>
              <w:snapToGrid w:val="0"/>
              <w:ind w:right="560"/>
              <w:jc w:val="left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统一社会信用代码：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8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开户银行</w:t>
            </w:r>
            <w:r>
              <w:rPr>
                <w:rFonts w:hint="eastAsia"/>
                <w:color w:val="auto"/>
                <w:sz w:val="24"/>
                <w:szCs w:val="24"/>
              </w:rPr>
              <w:t>：中国建设银行股份有限公司重庆巴南李家沱支行</w:t>
            </w:r>
          </w:p>
        </w:tc>
        <w:tc>
          <w:tcPr>
            <w:tcW w:w="527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15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8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账号：50001113800050201389</w:t>
            </w:r>
          </w:p>
        </w:tc>
        <w:tc>
          <w:tcPr>
            <w:tcW w:w="527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15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帐号：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8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签约日期：   年   月  日</w:t>
            </w:r>
          </w:p>
        </w:tc>
        <w:tc>
          <w:tcPr>
            <w:tcW w:w="527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15" w:type="dxa"/>
          </w:tcPr>
          <w:p>
            <w:pPr>
              <w:adjustRightInd w:val="0"/>
              <w:snapToGrid w:val="0"/>
              <w:spacing w:line="336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签约日期：    年   月  日</w:t>
            </w:r>
          </w:p>
        </w:tc>
      </w:tr>
    </w:tbl>
    <w:p>
      <w:pPr>
        <w:rPr>
          <w:rFonts w:hint="eastAsia" w:eastAsia="宋体"/>
          <w:color w:val="auto"/>
          <w:lang w:eastAsia="zh-CN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YWEyYjIxZjhlMWJkNGMxNjhiNTNjYjI0Zjg1ZjAifQ=="/>
  </w:docVars>
  <w:rsids>
    <w:rsidRoot w:val="7C474D49"/>
    <w:rsid w:val="03920A67"/>
    <w:rsid w:val="17223E57"/>
    <w:rsid w:val="18513131"/>
    <w:rsid w:val="21E900E2"/>
    <w:rsid w:val="2BCC334F"/>
    <w:rsid w:val="2CB9768F"/>
    <w:rsid w:val="2D4F2AE9"/>
    <w:rsid w:val="34A93A72"/>
    <w:rsid w:val="38E2156D"/>
    <w:rsid w:val="3C467AD8"/>
    <w:rsid w:val="474B1A81"/>
    <w:rsid w:val="48323D04"/>
    <w:rsid w:val="52DB7E66"/>
    <w:rsid w:val="5BA30291"/>
    <w:rsid w:val="698F1198"/>
    <w:rsid w:val="7C4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 w:line="240" w:lineRule="auto"/>
      <w:ind w:left="420" w:leftChars="200" w:firstLine="420" w:firstLineChars="200"/>
      <w:jc w:val="left"/>
    </w:pPr>
    <w:rPr>
      <w:rFonts w:ascii="Times New Roman" w:hAnsi="Times New Roman" w:eastAsia="仿宋_GB2312"/>
      <w:sz w:val="28"/>
      <w:szCs w:val="28"/>
    </w:rPr>
  </w:style>
  <w:style w:type="paragraph" w:styleId="3">
    <w:name w:val="Body Text Indent"/>
    <w:basedOn w:val="1"/>
    <w:qFormat/>
    <w:uiPriority w:val="0"/>
    <w:pPr>
      <w:ind w:left="-3"/>
    </w:pPr>
    <w:rPr>
      <w:rFonts w:ascii="宋体" w:hAnsi="宋体"/>
    </w:rPr>
  </w:style>
  <w:style w:type="paragraph" w:styleId="4">
    <w:name w:val="Body Text First Indent"/>
    <w:basedOn w:val="5"/>
    <w:uiPriority w:val="99"/>
    <w:pPr>
      <w:spacing w:after="120"/>
      <w:ind w:firstLine="420" w:firstLineChars="100"/>
    </w:pPr>
    <w:rPr>
      <w:sz w:val="21"/>
    </w:rPr>
  </w:style>
  <w:style w:type="paragraph" w:styleId="5">
    <w:name w:val="Body Text"/>
    <w:basedOn w:val="1"/>
    <w:qFormat/>
    <w:uiPriority w:val="99"/>
    <w:rPr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0正文"/>
    <w:basedOn w:val="1"/>
    <w:qFormat/>
    <w:uiPriority w:val="0"/>
    <w:pPr>
      <w:jc w:val="both"/>
    </w:pPr>
    <w:rPr>
      <w:color w:val="000000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2021-09-14T06:51:00Z</dcterms:created>
  <dc:creator>Administrator</dc:creator>
  <cp:lastModifiedBy>Administrator</cp:lastModifiedBy>
  <dcterms:modified xsi:type="dcterms:W3CDTF">2022-06-07T01:06:48Z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BC1B21B050C44ACCB9CEC2936FC949CA</vt:lpwstr>
  </property>
</Properties>
</file>